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но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8"/>
        <w:gridCol w:w="1612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.2021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1 195 060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6 449 200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4 340 800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10 790 000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7 076 750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078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94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LibreOffice/7.0.0.3$Windows_X86_64 LibreOffice_project/8061b3e9204bef6b321a21033174034a5e2ea88e</Application>
  <Pages>1</Pages>
  <Words>94</Words>
  <Characters>536</Characters>
  <CharactersWithSpaces>680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2021-08-20T15:01:11Z</cp:lastPrinted>
  <dcterms:modified xsi:type="dcterms:W3CDTF">2021-11-15T09:50:29Z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